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spacing w:before="0" w:after="0"/>
        <w:contextualSpacing/>
        <w:jc w:val="center"/>
        <w:outlineLvl w:val="0"/>
        <w:rPr>
          <w:rFonts w:ascii="FreeSerif" w:hAnsi="FreeSerif"/>
          <w:sz w:val="28"/>
          <w:szCs w:val="28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 xml:space="preserve">Предоставление социального обслуживания в </w:t>
      </w:r>
    </w:p>
    <w:p>
      <w:pPr>
        <w:pStyle w:val="Normal"/>
        <w:numPr>
          <w:ilvl w:val="0"/>
          <w:numId w:val="0"/>
        </w:numPr>
        <w:suppressAutoHyphens w:val="false"/>
        <w:spacing w:before="0" w:after="0"/>
        <w:contextualSpacing/>
        <w:jc w:val="center"/>
        <w:outlineLvl w:val="0"/>
        <w:rPr/>
      </w:pPr>
      <w:r>
        <w:rPr>
          <w:rFonts w:ascii="FreeSerif" w:hAnsi="FreeSerif"/>
          <w:b/>
          <w:bCs/>
          <w:shadow w:val="false"/>
          <w:sz w:val="28"/>
          <w:szCs w:val="28"/>
          <w:u w:val="single"/>
          <w:lang w:eastAsia="ru-RU"/>
        </w:rPr>
        <w:t>полустационарной форме</w:t>
      </w: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бесплатно)</w:t>
      </w:r>
    </w:p>
    <w:p>
      <w:pPr>
        <w:pStyle w:val="Normal"/>
        <w:numPr>
          <w:ilvl w:val="0"/>
          <w:numId w:val="0"/>
        </w:numPr>
        <w:suppressAutoHyphens w:val="false"/>
        <w:spacing w:before="0" w:after="0"/>
        <w:contextualSpacing/>
        <w:jc w:val="center"/>
        <w:outlineLvl w:val="0"/>
        <w:rPr>
          <w:rFonts w:ascii="FreeSerif" w:hAnsi="FreeSerif"/>
          <w:b/>
          <w:b/>
          <w:bCs/>
          <w:shadow w:val="false"/>
          <w:sz w:val="28"/>
          <w:szCs w:val="28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/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Категории потребителей государственной услуги:</w:t>
      </w:r>
      <w:r>
        <w:rPr>
          <w:rFonts w:ascii="FreeSerif" w:hAnsi="FreeSerif"/>
          <w:shadow w:val="false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 силу заболевания, травмы, возраста или наличия инвалидности;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наличии в семье инвалида или инвалидов, в том числе ребенка-инвалида или детей-инвалидов, нуждающихся в постоянном постороннем уходе;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наличии внутрисемейного конфликта, в том числе с лицами с наркотической или алкогольной зависимостью, лицами, имеющими пристрастие к азартным играм, лицами, страдающими психическими расстройствами, наличие насилия в семье;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наличии иных обстоятельств, которые ухудшают или способны ухудшить условия его жизнедеятельности;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наличии ребенка или детей (в том числе находящихся под опекой, попечительством), испытывающих трудности в социальной адаптации;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отсутствии возможности обеспечения ухода (в том числе временного) за инвалидом, ребенком, детьми, а также отсутствие попечения над ним;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отсутствии определенного места жительства, в том числе у лица, не достигшего возраста двадцати трех лет и завершившего пребывание в организации для детей-сирот и детей, оставшихся без попечения родителей;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гражданин при отсутствии работы и средств к существованию.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Times New Roman" w:hAnsi="Times New Roman"/>
          <w:shadow w:val="false"/>
          <w:sz w:val="24"/>
          <w:szCs w:val="24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Порядок оказания государственной услуги.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Нормативные правовые акты, регулирующие порядок оказания государственной услуги: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Федеральный закон Российской Федерации от 28.12.2013 № 442-ФЗ «Об основах социального обслуживания граждан в Российской Федерации»;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РФ от 18.10.2014 № 1075 «Об утверждении Правил определения среднедушевого дохода для предоставления социальных услуг бесплатно»;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Российской Федерации от 24.11.2014 № 1236 «Об утверждении примерного перечня социальных услуг по видам социальных услуг»;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Приказ Минтруда России от 30.07.2014 № 500н «Об утверждении рекомендаций по определению индивидуальной потребности в социальных услугах получателей социальных услуг»;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Приказ Минтруда России № 874н от 10.11.2014 «О примерной форме договора о предоставлении социальных услуг, а также о форме индивидуальной программы предоставления социальных услуг»;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Закон Оренбургской области от 03.10.2014 № 2560/729-V-03 «О разграничении полномочий органов государственной власти Оренбургской области в сфере социального обслуживания граждан в Оренбургской области и внесении изменений и признании утратившими силу отдельных законодательных актов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Закон Оренбургской области от 31.10.2014 № 2608/758-V-03 «Об установлении размера предельной величины среднедушевого дохода для предоставления социальных услуг бесплатно в 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Закон Оренбургской области от 31.10.2014 № 2609/759-V-03 «Об утверждении перечня социальных услуг, предоставляемых поставщиками социальных услуг на территории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26.10.2012 №942-п «О предоставлении инвалидам и детям инвалидам реабилитационных услуг в государственных учреждениях социального обслуживания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30.06.2009 № 325-п «О порядке оценки соответствия качества фактически предоставленных государственных услуг юридическим и физическим лицам стандартам предоставления государственных услуг юридическим и физическим лицам»;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31.10.2014 № 828-п «Об обстоятельствах, ухудшающих или способных ухудшить условия жизнедеятельности граждан»;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30.10.2014 № 825-п «Об утверждении порядка организации осуществления регионального государственного контроля (надзора) в сфере социального обслуживания на территории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10.07.2013 № 594-п «О дополнительных мерах социальной поддержки отдельных категорий граждан, проживающих на территории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Постановление Правительства Оренбургской области от 31.10.2014 № 826-п «О порядке предоставления социальных услуг поставщиками социальных услуг на территории Оренбургской области»;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Приказ министерства социального развития Оренбургской области от 17.06.2015 № 240 «Об утверждении ведомственного перечня государственных услуг (работ), оказываемых (выполняемых) находящимися в ведении министерства социального развития Оренбургской области государственными учреждениями Оренбургской области в качестве основных видов деятельности» (с изменениями и дополнениями);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Приказ министерства социального развития Оренбургской области от 30.03.2016 № 196 «Об утверждении порядка осуществления в министерстве социального развития Оренбургской области контроля за выполнением государственного задания на оказание государственных услуг (выполнение работ) государственными автономными, бюджетными и казенными учреждениями социального обслуживания подведомственными министерству социального развития Оренбургской области;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ГОСТ Р 52497–2005 «Социальное обслуживание населения. Система качества учреждений социального обслуживания»; 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ГОСТ Р 52143–2013 «Социальное обслуживание населения. Основные виды социальных услуг»; 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ГОСТ Р 53058–2013 «Социальное обслуживание населения. Социальные услуги гражданам пожилого возраста»; 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 xml:space="preserve">ГОСТ Р 53059–2014 «Социальное обслуживание населения. Социальные </w:t>
      </w:r>
      <w:bookmarkStart w:id="0" w:name="__DdeLink__97_1365571042"/>
      <w:r>
        <w:rPr>
          <w:rFonts w:ascii="FreeSerif" w:hAnsi="FreeSerif"/>
          <w:shadow w:val="false"/>
          <w:sz w:val="28"/>
          <w:szCs w:val="28"/>
          <w:lang w:eastAsia="ru-RU"/>
        </w:rPr>
        <w:t>услуги инвалидам».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FreeSerif" w:hAnsi="FreeSerif"/>
          <w:sz w:val="28"/>
          <w:szCs w:val="28"/>
        </w:rPr>
      </w:pPr>
      <w:r>
        <w:rPr>
          <w:rFonts w:eastAsia="Times New Roman" w:cs="Arial" w:ascii="FreeSerif" w:hAnsi="FreeSerif"/>
          <w:b/>
          <w:bCs/>
          <w:color w:val="1B1B1B"/>
          <w:sz w:val="28"/>
          <w:szCs w:val="28"/>
          <w:lang w:eastAsia="ru-RU"/>
        </w:rPr>
        <w:t>Виды социальных услуг</w:t>
      </w:r>
    </w:p>
    <w:p>
      <w:pPr>
        <w:pStyle w:val="Normal"/>
        <w:shd w:val="clear" w:fill="FFFFFF"/>
        <w:rPr>
          <w:rFonts w:ascii="FreeSerif" w:hAnsi="FreeSerif"/>
          <w:sz w:val="28"/>
          <w:szCs w:val="28"/>
        </w:rPr>
      </w:pPr>
      <w:r>
        <w:rPr>
          <w:rFonts w:ascii="FreeSerif" w:hAnsi="FreeSerif"/>
          <w:sz w:val="28"/>
          <w:szCs w:val="28"/>
          <w:lang w:eastAsia="ru-RU"/>
        </w:rPr>
        <w:t>Получателям социальных услуг с учетом их индивидуальных потребностей предоставляются следующие виды социальных услуг: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1. Социально-бытовые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2. Социально-медицинские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3. Социально-психологические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4. Социально-педагогические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5. Социально-трудовые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6. Социально-правовые услуги.</w:t>
      </w:r>
    </w:p>
    <w:p>
      <w:pPr>
        <w:pStyle w:val="Normal"/>
        <w:shd w:val="clear" w:fill="FFFFFF"/>
        <w:rPr/>
      </w:pPr>
      <w:r>
        <w:rPr>
          <w:rFonts w:ascii="FreeSerif" w:hAnsi="FreeSerif"/>
          <w:sz w:val="28"/>
          <w:szCs w:val="28"/>
          <w:lang w:eastAsia="ru-RU"/>
        </w:rPr>
        <w:t>7. 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детей-инвалидов.</w:t>
      </w:r>
    </w:p>
    <w:p>
      <w:pPr>
        <w:pStyle w:val="Normal"/>
        <w:shd w:val="clear" w:fill="FFFFFF"/>
        <w:rPr/>
      </w:pPr>
      <w:bookmarkEnd w:id="0"/>
      <w:r>
        <w:rPr>
          <w:rFonts w:ascii="FreeSerif" w:hAnsi="FreeSerif"/>
          <w:sz w:val="28"/>
          <w:szCs w:val="28"/>
          <w:lang w:eastAsia="ru-RU"/>
        </w:rPr>
        <w:t>8. Срочные социальные услуги.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Перечень документов, необходимых для получения государственной услуги: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Решение о признании гражданина нуждающимся в предоставлении социальных услуг в полустационарной форме социального обслуживания принимается на основании следующих документов: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Документы, предоставляемые гражданином (или его законным представителем):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1. заявление гражданина или его законного представителя;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2. документ, удостоверяющий личность гражданина;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3. документы, подтверждающие полномочия представителя (при обращении за получением социальных услуг представителя гражданина);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4. документы о месте жительства или пребывания, фактического проживания гражданина;</w:t>
      </w:r>
    </w:p>
    <w:p>
      <w:pPr>
        <w:pStyle w:val="ConsPlus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5. гражданином, имеющим инвалидность - справку, подтверждающую факт установления инвалидности, индивидуальную программу реабилитации инвалида (при наличии);</w:t>
      </w:r>
    </w:p>
    <w:p>
      <w:pPr>
        <w:pStyle w:val="ConsPlusNormal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z w:val="28"/>
          <w:szCs w:val="28"/>
        </w:rPr>
      </w:r>
    </w:p>
    <w:p>
      <w:pPr>
        <w:pStyle w:val="ConsPlusNormal"/>
        <w:numPr>
          <w:ilvl w:val="0"/>
          <w:numId w:val="3"/>
        </w:numPr>
        <w:spacing w:before="0" w:after="0"/>
        <w:contextualSpacing/>
        <w:jc w:val="both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8"/>
          <w:szCs w:val="28"/>
        </w:rPr>
        <w:t>Документы, предоставляемые уполномоченным органом:</w:t>
      </w:r>
    </w:p>
    <w:p>
      <w:pPr>
        <w:pStyle w:val="ConsPlusNormal"/>
        <w:numPr>
          <w:ilvl w:val="0"/>
          <w:numId w:val="0"/>
        </w:numPr>
        <w:suppressAutoHyphens w:val="false"/>
        <w:spacing w:before="0" w:after="0"/>
        <w:ind w:left="720" w:hanging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1. Документы, запрашиваемые через систему межведомственного взаимодействия (при необходимости).</w:t>
      </w:r>
    </w:p>
    <w:p>
      <w:pPr>
        <w:pStyle w:val="ConsPlusNormal"/>
        <w:numPr>
          <w:ilvl w:val="0"/>
          <w:numId w:val="0"/>
        </w:numPr>
        <w:suppressAutoHyphens w:val="false"/>
        <w:spacing w:before="0" w:after="0"/>
        <w:ind w:left="720" w:hanging="0"/>
        <w:contextualSpacing/>
        <w:jc w:val="both"/>
        <w:rPr>
          <w:rFonts w:ascii="FreeSerif" w:hAnsi="FreeSerif"/>
          <w:shadow w:val="false"/>
          <w:sz w:val="28"/>
          <w:szCs w:val="28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Результат предоставления государственной услуги: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Результатом предоставления социальных услуг в полустационарной форме социального обслуживания является улучшение условий жизнедеятельности получателя социальных услуг.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hadow w:val="false"/>
          <w:sz w:val="28"/>
          <w:szCs w:val="28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hadow w:val="false"/>
          <w:sz w:val="28"/>
          <w:szCs w:val="28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Условия оказания государственной услуги: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Решение о признании гражданина нуждающимся в предоставлении социальных услуг в полустационарной форме социального обслуживания либо об отказе в предоставлении таких социальных услуг принимается уполномоченным органом в течение 5 рабочих дней с даты подачи гражданином (его законным представителем) заявления о предоставлении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Полустационарное социальное обслуживание осуществляется поставщиками социальных услуг в определенное время суток.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Полустационарное социальное обслуживание осуществляется посредством предоставления установленных стандартом различных видов социальных услуг, определяемых в соответствии с индивидуальной программой, разработанной уполномоченным органом.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Индивидуальная программа составляется исходя из потребности гражданина в социальных услугах, пересматривается в зависимости от изменения этой потребности, но не реже чем раз в три года. Пересмотр индивидуальной программы осуществляется с учетом результатов реализованной индивидуальной программы.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После получения индивидуальной программы гражданин (законный представитель) вправе обратиться к одному из рекомендуемых в индивидуальной программе поставщиков социальных услуг для заключения с ним договора о предоставлении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Поставщик социальных услуг в течение суток с даты представления гражданином (его законным представителем) индивидуальной программы заключает с гражданином (его законным представителем) договор о предоставлении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Договор о предоставлении социальных услуг составляется в двух экземплярах. Один экземпляр передается гражданину (его законному представителю). Второй экземпляр хранится у поставщика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Основаниями для прекращения предоставления социальных услуг в полустационарной форме социального обслуживания являются: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письменное заявление гражданина (его законного представителя) об отказе от предоставления социальных услуг в полустационарной форме социального обслуживания;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окончание срока предоставления социальных услуг в полустационарной форме социального обслуживания в соответствии с индивидуальной программой и (или) истечение срока действия договора о предоставлении социальных услуг;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нарушение гражданином (его законным представителем) условий, предусмотренных договором о предоставлении социальных услуг;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смерть гражданина или ликвидация (прекращение деятельности) поставщика социальных услуг;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решения суда о признании гражданина безвестно отсутствующим или умершим;</w:t>
        <w:br/>
        <w:t>осуждение гражданина к отбыванию наказания в виде лишения свободы.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right="0" w:hanging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 xml:space="preserve">Приостановление предоставления социальных услуг в полустационарной форме социального обслуживания производится при: 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временном отсутствии гражданина (в связи с выездом на отдых, содержанием под стражей, санаторно-курортным или стационарным лечением, в иных случаях) — на период такого отсутствия;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выявлении алкоголизма, наркомании, психических заболеваний либо инфекционных заболеваний, передающихся бытовым путем, — на период необходимого лечения;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неоплате в течение 2 месяцев социальных услуг, подлежащих оплате, — на период до полного погашения задолженности по оплате услуг;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contextualSpacing/>
        <w:jc w:val="both"/>
        <w:rPr/>
      </w:pPr>
      <w:r>
        <w:rPr>
          <w:rFonts w:ascii="FreeSerif" w:hAnsi="FreeSerif"/>
          <w:shadow w:val="false"/>
          <w:sz w:val="28"/>
          <w:szCs w:val="28"/>
          <w:lang w:eastAsia="ru-RU"/>
        </w:rPr>
        <w:t xml:space="preserve">приостановлении деятельности поставщика социальных услуг в порядке, предусмотренным </w:t>
      </w:r>
      <w:hyperlink r:id="rId2">
        <w:r>
          <w:rPr>
            <w:rStyle w:val="Style15"/>
            <w:rFonts w:ascii="FreeSerif" w:hAnsi="FreeSerif"/>
            <w:shadow w:val="false"/>
            <w:color w:val="0000FF"/>
            <w:sz w:val="28"/>
            <w:szCs w:val="28"/>
            <w:u w:val="single"/>
            <w:lang w:eastAsia="ru-RU"/>
          </w:rPr>
          <w:t>Кодексом об административных правонарушениях Российской Федерации</w:t>
        </w:r>
      </w:hyperlink>
      <w:r>
        <w:rPr>
          <w:rFonts w:ascii="FreeSerif" w:hAnsi="FreeSerif"/>
          <w:shadow w:val="false"/>
          <w:sz w:val="28"/>
          <w:szCs w:val="28"/>
          <w:lang w:eastAsia="ru-RU"/>
        </w:rPr>
        <w:t>, — на период такого приостановления;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отсутствии, отзыве лицензии либо истечении срока ее действия — на период до получения лицензии (при необходимости наличия лицензии).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О временном отсутствии гражданина поставщиком социальных услуг составляется акт.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Социальные услуги в объемах, определяемых установленными стандартами, предоставляются гражданам в полустационарных условиях бесплатно, а также на условиях частичной или полной оплаты.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Плата за предоставление социальных услуг в полустационарной форме социального обслуживания производится в соответствии с договором.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Социальные услуги в полустационарной форме социального обслуживания предоставляются бесплатно: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несовершеннолетним детям;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лицам, пострадавшим в результате чрезвычайных ситуаций, вооруженных межнациональных (межэтнических) конфликтов;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hadow w:val="false"/>
          <w:sz w:val="24"/>
          <w:szCs w:val="24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 условии, если на момент обращения гражданина среднедушевой доход гражданина (доход семьи гражданина) ниже полуторной величины прожиточного минимума, установленного для основных социально-демографических групп населения в Оренбургской области, или равен ей.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Дополнительные услуги сверх объемов, определяемых государственными стандартами социального обслуживания, оказываются гражданам на условиях полной оплаты.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Решение об условиях оказания социальных услуг (бесплатно, с частичной или полной оплатой) принимается поставщиком социальных услуг на основании представленных гражданином (представителем гражданина) сведений о составе семьи, доходах членов семьи и (или) одиноко проживающего гражданина и принадлежащем им (ему) имуществе на праве собственности, и иных сведений, обусловливающих потребность в предоставлении социальных услуг, указанных в заявлении о предоставлении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Решение об условиях оказания социальных услуг (бесплатно, с частичной или полной оплатой) и размер взимаемой с граждан платы за социальные услуги пересматриваются поставщиком социальных услуг при изменении доходов граждан, среднедушевого дохода семей, прожиточного минимума, установленного в Оренбургской области. Социальные услуги, оказываемые инвалидам в целях проведения мероприятий социальной реабилитации или абилитации в соответствии с рекомендациями индивидуальной программы реабилитации или абилитации инвалида (ребенка-инвалида), осуществляются бесплатно, в пределах норм, установленных стандартом социальных услуг.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  <w:t>При предоставлении социальных услуг учитываются возрастные особенности и состояние здоровья гражданина.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b/>
          <w:b/>
          <w:bCs/>
          <w:shadow w:val="false"/>
          <w:sz w:val="28"/>
          <w:szCs w:val="28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  <w:t>Место оказания государственной услуги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b/>
          <w:b/>
          <w:bCs/>
          <w:shadow w:val="false"/>
          <w:sz w:val="28"/>
          <w:szCs w:val="28"/>
          <w:lang w:eastAsia="ru-RU"/>
        </w:rPr>
      </w:pPr>
      <w:r>
        <w:rPr>
          <w:rFonts w:ascii="FreeSerif" w:hAnsi="FreeSerif"/>
          <w:b/>
          <w:bCs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b w:val="false"/>
          <w:bCs w:val="false"/>
          <w:shadow w:val="false"/>
          <w:sz w:val="28"/>
          <w:szCs w:val="28"/>
          <w:lang w:eastAsia="ru-RU"/>
        </w:rPr>
        <w:t>г.Бугуруслан ул. Фрунзе дом 101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b w:val="false"/>
          <w:b w:val="false"/>
          <w:bCs w:val="false"/>
          <w:shadow w:val="false"/>
          <w:sz w:val="28"/>
          <w:szCs w:val="28"/>
          <w:lang w:eastAsia="ru-RU"/>
        </w:rPr>
      </w:pPr>
      <w:r>
        <w:rPr>
          <w:rFonts w:ascii="FreeSerif" w:hAnsi="FreeSerif"/>
          <w:b w:val="false"/>
          <w:bCs w:val="false"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b w:val="false"/>
          <w:bCs w:val="false"/>
          <w:shadow w:val="false"/>
          <w:sz w:val="28"/>
          <w:szCs w:val="28"/>
          <w:lang w:eastAsia="ru-RU"/>
        </w:rPr>
        <w:t>телефон 8(35352)3 30 15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hadow w:val="false"/>
          <w:sz w:val="28"/>
          <w:szCs w:val="28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FreeSerif" w:hAnsi="FreeSerif"/>
          <w:shadow w:val="false"/>
          <w:sz w:val="28"/>
          <w:szCs w:val="28"/>
          <w:lang w:eastAsia="ru-RU"/>
        </w:rPr>
      </w:pPr>
      <w:r>
        <w:rPr>
          <w:rFonts w:ascii="FreeSerif" w:hAnsi="FreeSerif"/>
          <w:shadow w:val="false"/>
          <w:sz w:val="28"/>
          <w:szCs w:val="28"/>
          <w:lang w:eastAsia="ru-RU"/>
        </w:rPr>
      </w:r>
    </w:p>
    <w:p>
      <w:pPr>
        <w:pStyle w:val="1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429481369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Free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cfc"/>
    <w:pPr>
      <w:widowControl/>
      <w:suppressAutoHyphens w:val="true"/>
      <w:bidi w:val="0"/>
      <w:jc w:val="left"/>
    </w:pPr>
    <w:rPr>
      <w:rFonts w:ascii="Verdana" w:hAnsi="Verdana" w:eastAsia="Times New Roman" w:cs="Times New Roman"/>
      <w:shadow/>
      <w:color w:val="00000A"/>
      <w:sz w:val="96"/>
      <w:szCs w:val="96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dc1e41"/>
    <w:pPr>
      <w:suppressAutoHyphens w:val="false"/>
      <w:spacing w:beforeAutospacing="1" w:afterAutospacing="1"/>
      <w:outlineLvl w:val="0"/>
    </w:pPr>
    <w:rPr>
      <w:rFonts w:ascii="Times New Roman" w:hAnsi="Times New Roman"/>
      <w:b/>
      <w:bCs/>
      <w:shadow w:val="false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link w:val="a4"/>
    <w:qFormat/>
    <w:rsid w:val="00e47cfc"/>
    <w:rPr>
      <w:rFonts w:ascii="Arial" w:hAnsi="Arial" w:eastAsia="Arial Unicode MS" w:cs="Mangal"/>
      <w:i/>
      <w:iCs/>
      <w:shadow/>
      <w:sz w:val="28"/>
      <w:szCs w:val="28"/>
      <w:lang w:eastAsia="zh-CN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rsid w:val="003653f5"/>
    <w:rPr>
      <w:rFonts w:ascii="Verdana" w:hAnsi="Verdana"/>
      <w:shadow/>
      <w:sz w:val="96"/>
      <w:szCs w:val="9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c1e41"/>
    <w:rPr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dc1e41"/>
    <w:rPr>
      <w:b/>
      <w:bCs/>
    </w:rPr>
  </w:style>
  <w:style w:type="character" w:styleId="Style15">
    <w:name w:val="Интернет-ссылка"/>
    <w:basedOn w:val="DefaultParagraphFont"/>
    <w:uiPriority w:val="99"/>
    <w:semiHidden/>
    <w:unhideWhenUsed/>
    <w:rsid w:val="00dc1e4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ascii="Times New Roman" w:hAnsi="Times New Roman"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ascii="Times New Roman" w:hAnsi="Times New Roman"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ascii="Times New Roman" w:hAnsi="Times New Roman"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ascii="Times New Roman" w:hAnsi="Times New Roman"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ascii="FreeSerif" w:hAnsi="FreeSerif"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ascii="Times New Roman" w:hAnsi="Times New Roman"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ascii="Times New Roman" w:hAnsi="Times New Roman"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ascii="Times New Roman" w:hAnsi="Times New Roman" w:cs="Symbol"/>
      <w:sz w:val="24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4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4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4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4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ascii="Times New Roman" w:hAnsi="Times New Roman" w:cs="Symbol"/>
      <w:sz w:val="24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ascii="Times New Roman" w:hAnsi="Times New Roman" w:cs="Symbol"/>
      <w:sz w:val="24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ascii="FreeSerif" w:hAnsi="FreeSerif" w:cs="Symbol"/>
      <w:sz w:val="24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ascii="FreeSerif" w:hAnsi="FreeSerif"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ascii="Times New Roman" w:hAnsi="Times New Roman" w:cs="Symbol"/>
      <w:sz w:val="24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ascii="Times New Roman" w:hAnsi="Times New Roman" w:cs="Symbol"/>
      <w:sz w:val="24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ascii="Times New Roman" w:hAnsi="Times New Roman" w:cs="Symbol"/>
      <w:sz w:val="24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ascii="Times New Roman" w:hAnsi="Times New Roman" w:cs="Symbol"/>
      <w:sz w:val="24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ascii="FreeSerif" w:hAnsi="FreeSerif" w:cs="Symbol"/>
      <w:sz w:val="24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ascii="FreeSerif" w:hAnsi="FreeSerif"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ascii="Times New Roman" w:hAnsi="Times New Roman" w:cs="Symbol"/>
      <w:sz w:val="24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ascii="Times New Roman" w:hAnsi="Times New Roman" w:cs="Symbol"/>
      <w:sz w:val="24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ascii="Times New Roman" w:hAnsi="Times New Roman" w:cs="Symbol"/>
      <w:sz w:val="24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ascii="Times New Roman" w:hAnsi="Times New Roman" w:cs="Symbol"/>
      <w:sz w:val="24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ascii="FreeSerif" w:hAnsi="FreeSerif" w:cs="Symbol"/>
      <w:sz w:val="24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ascii="FreeSerif" w:hAnsi="FreeSerif"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ascii="Times New Roman" w:hAnsi="Times New Roman" w:cs="Symbol"/>
      <w:sz w:val="24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ascii="Times New Roman" w:hAnsi="Times New Roman" w:cs="Symbol"/>
      <w:sz w:val="24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ascii="Times New Roman" w:hAnsi="Times New Roman" w:cs="Symbol"/>
      <w:sz w:val="24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ascii="Times New Roman" w:hAnsi="Times New Roman" w:cs="Symbol"/>
      <w:sz w:val="24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ListLabel478">
    <w:name w:val="ListLabel 478"/>
    <w:qFormat/>
    <w:rPr>
      <w:rFonts w:ascii="FreeSerif" w:hAnsi="FreeSerif" w:cs="Symbol"/>
      <w:sz w:val="24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character" w:styleId="ListLabel487">
    <w:name w:val="ListLabel 487"/>
    <w:qFormat/>
    <w:rPr>
      <w:rFonts w:ascii="FreeSerif" w:hAnsi="FreeSerif" w:cs="Symbol"/>
      <w:sz w:val="28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ascii="Times New Roman" w:hAnsi="Times New Roman" w:cs="Symbol"/>
      <w:sz w:val="24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ascii="Times New Roman" w:hAnsi="Times New Roman" w:cs="Symbol"/>
      <w:sz w:val="24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unhideWhenUsed/>
    <w:rsid w:val="003653f5"/>
    <w:pPr>
      <w:spacing w:before="0" w:after="12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e47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Subtitle"/>
    <w:basedOn w:val="Normal"/>
    <w:link w:val="a5"/>
    <w:qFormat/>
    <w:rsid w:val="00e47cfc"/>
    <w:pPr>
      <w:keepNext/>
      <w:spacing w:before="240" w:after="120"/>
      <w:jc w:val="center"/>
    </w:pPr>
    <w:rPr>
      <w:rFonts w:ascii="Arial" w:hAnsi="Arial" w:eastAsia="Arial Unicode MS" w:cs="Mangal"/>
      <w:i/>
      <w:iCs/>
      <w:sz w:val="28"/>
      <w:szCs w:val="28"/>
    </w:rPr>
  </w:style>
  <w:style w:type="paragraph" w:styleId="Contentdate" w:customStyle="1">
    <w:name w:val="content-date"/>
    <w:basedOn w:val="Normal"/>
    <w:qFormat/>
    <w:rsid w:val="00dc1e41"/>
    <w:pPr>
      <w:suppressAutoHyphens w:val="false"/>
      <w:spacing w:beforeAutospacing="1" w:afterAutospacing="1"/>
    </w:pPr>
    <w:rPr>
      <w:rFonts w:ascii="Times New Roman" w:hAnsi="Times New Roman"/>
      <w:shadow w:val="false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c1e41"/>
    <w:pPr>
      <w:suppressAutoHyphens w:val="false"/>
      <w:spacing w:beforeAutospacing="1" w:afterAutospacing="1"/>
    </w:pPr>
    <w:rPr>
      <w:rFonts w:ascii="Times New Roman" w:hAnsi="Times New Roman"/>
      <w:shadow w:val="false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80766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LibreOffice/5.1.3.2$Linux_x86 LibreOffice_project/644e4637d1d8544fd9f56425bd6cec110e49301b</Application>
  <Pages>6</Pages>
  <Words>1519</Words>
  <Characters>11907</Characters>
  <CharactersWithSpaces>13300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2017-02-13T12:39:00Z</dcterms:created>
  <dc:creator>Марина</dc:creator>
  <dc:description/>
  <dc:language>ru-RU</dc:language>
  <cp:lastModifiedBy/>
  <cp:lastPrinted>2017-02-16T12:02:06Z</cp:lastPrinted>
  <dcterms:modified xsi:type="dcterms:W3CDTF">2017-02-20T15:50:40Z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